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73FC" w14:textId="77777777" w:rsidR="007331AC" w:rsidRDefault="007331AC" w:rsidP="007331AC">
      <w:pPr>
        <w:pStyle w:val="NormalWeb"/>
        <w:spacing w:before="0" w:beforeAutospacing="0" w:after="0" w:afterAutospacing="0" w:line="276" w:lineRule="auto"/>
        <w:rPr>
          <w:rFonts w:asciiTheme="minorHAnsi" w:hAnsiTheme="minorHAnsi" w:cstheme="minorHAnsi"/>
          <w:b/>
          <w:iCs/>
          <w:caps/>
          <w:sz w:val="28"/>
          <w:szCs w:val="28"/>
        </w:rPr>
      </w:pPr>
    </w:p>
    <w:p w14:paraId="4AB56356" w14:textId="77777777" w:rsidR="007331AC" w:rsidRPr="00E50E7C" w:rsidRDefault="007331AC" w:rsidP="007331AC">
      <w:pPr>
        <w:pStyle w:val="NormalWeb"/>
        <w:spacing w:before="0" w:beforeAutospacing="0" w:after="0" w:afterAutospacing="0" w:line="276" w:lineRule="auto"/>
        <w:jc w:val="center"/>
        <w:rPr>
          <w:rFonts w:asciiTheme="minorHAnsi" w:hAnsiTheme="minorHAnsi" w:cstheme="minorHAnsi"/>
          <w:b/>
          <w:iCs/>
          <w:caps/>
          <w:sz w:val="28"/>
          <w:szCs w:val="28"/>
        </w:rPr>
      </w:pPr>
      <w:r w:rsidRPr="00CC6169">
        <w:rPr>
          <w:rFonts w:asciiTheme="minorHAnsi" w:hAnsiTheme="minorHAnsi" w:cstheme="minorHAnsi"/>
          <w:b/>
          <w:iCs/>
          <w:caps/>
          <w:sz w:val="28"/>
          <w:szCs w:val="28"/>
        </w:rPr>
        <w:t>amendement au</w:t>
      </w:r>
      <w:r>
        <w:rPr>
          <w:rFonts w:asciiTheme="minorHAnsi" w:hAnsiTheme="minorHAnsi" w:cstheme="minorHAnsi"/>
          <w:b/>
          <w:iCs/>
          <w:caps/>
          <w:sz w:val="28"/>
          <w:szCs w:val="28"/>
        </w:rPr>
        <w:t xml:space="preserve"> </w:t>
      </w:r>
      <w:r w:rsidRPr="00CC6169">
        <w:rPr>
          <w:rFonts w:asciiTheme="minorHAnsi" w:hAnsiTheme="minorHAnsi" w:cstheme="minorHAnsi"/>
          <w:b/>
          <w:bCs/>
          <w:caps/>
          <w:sz w:val="28"/>
          <w:szCs w:val="28"/>
        </w:rPr>
        <w:t>PROJET DE LOI</w:t>
      </w:r>
    </w:p>
    <w:p w14:paraId="2BB0BD73" w14:textId="7780E6F3" w:rsidR="007331AC" w:rsidRPr="00CC6169" w:rsidRDefault="007331AC" w:rsidP="007331AC">
      <w:pPr>
        <w:pStyle w:val="NormalWeb"/>
        <w:spacing w:before="0" w:beforeAutospacing="0" w:after="0" w:afterAutospacing="0" w:line="276" w:lineRule="auto"/>
        <w:jc w:val="center"/>
        <w:rPr>
          <w:rFonts w:asciiTheme="minorHAnsi" w:hAnsiTheme="minorHAnsi" w:cstheme="minorHAnsi"/>
          <w:b/>
          <w:iCs/>
          <w:caps/>
          <w:sz w:val="28"/>
          <w:szCs w:val="28"/>
        </w:rPr>
      </w:pPr>
      <w:r w:rsidRPr="00CC6169">
        <w:rPr>
          <w:rFonts w:asciiTheme="minorHAnsi" w:hAnsiTheme="minorHAnsi" w:cstheme="minorHAnsi"/>
          <w:b/>
          <w:iCs/>
          <w:caps/>
          <w:sz w:val="28"/>
          <w:szCs w:val="28"/>
        </w:rPr>
        <w:t>de Financement de la Sécurité Sociale pour 202</w:t>
      </w:r>
      <w:r w:rsidR="00EF6295">
        <w:rPr>
          <w:rFonts w:asciiTheme="minorHAnsi" w:hAnsiTheme="minorHAnsi" w:cstheme="minorHAnsi"/>
          <w:b/>
          <w:iCs/>
          <w:caps/>
          <w:sz w:val="28"/>
          <w:szCs w:val="28"/>
        </w:rPr>
        <w:t>6</w:t>
      </w:r>
    </w:p>
    <w:p w14:paraId="3660AB23" w14:textId="77777777" w:rsidR="007331AC" w:rsidRDefault="007331AC" w:rsidP="007331AC">
      <w:pPr>
        <w:pStyle w:val="NormalWeb"/>
        <w:spacing w:before="88" w:beforeAutospacing="0" w:after="88" w:afterAutospacing="0"/>
        <w:jc w:val="center"/>
        <w:textAlignment w:val="baseline"/>
        <w:rPr>
          <w:rFonts w:asciiTheme="minorHAnsi" w:hAnsiTheme="minorHAnsi" w:cstheme="minorHAnsi"/>
          <w:b/>
          <w:bCs/>
          <w:i/>
          <w:color w:val="000000"/>
          <w:sz w:val="28"/>
          <w:szCs w:val="28"/>
          <w:shd w:val="clear" w:color="auto" w:fill="FFFFFF"/>
        </w:rPr>
      </w:pPr>
    </w:p>
    <w:p w14:paraId="359226B2" w14:textId="77777777" w:rsidR="007331AC" w:rsidRPr="00CC6169" w:rsidRDefault="007331AC" w:rsidP="007331AC">
      <w:pPr>
        <w:pStyle w:val="NormalWeb"/>
        <w:spacing w:before="88" w:beforeAutospacing="0" w:after="88" w:afterAutospacing="0"/>
        <w:jc w:val="center"/>
        <w:textAlignment w:val="baseline"/>
        <w:rPr>
          <w:rFonts w:asciiTheme="minorHAnsi" w:hAnsiTheme="minorHAnsi" w:cstheme="minorHAnsi"/>
          <w:b/>
          <w:bCs/>
          <w:i/>
          <w:color w:val="000000"/>
          <w:sz w:val="28"/>
          <w:szCs w:val="28"/>
          <w:shd w:val="clear" w:color="auto" w:fill="FFFFFF"/>
        </w:rPr>
      </w:pPr>
    </w:p>
    <w:p w14:paraId="42E3515B" w14:textId="3A590F61" w:rsidR="0067071E" w:rsidRPr="00E50E7C" w:rsidRDefault="00FA2DCD" w:rsidP="0067071E">
      <w:pPr>
        <w:pStyle w:val="NormalWeb"/>
        <w:spacing w:before="88" w:beforeAutospacing="0" w:after="88" w:afterAutospacing="0"/>
        <w:jc w:val="center"/>
        <w:textAlignment w:val="baseline"/>
        <w:rPr>
          <w:rStyle w:val="apple-converted-space"/>
          <w:rFonts w:asciiTheme="minorHAnsi" w:hAnsiTheme="minorHAnsi" w:cstheme="minorHAnsi"/>
          <w:b/>
          <w:bCs/>
          <w:i/>
          <w:color w:val="000000"/>
          <w:sz w:val="28"/>
          <w:szCs w:val="28"/>
          <w:u w:val="single"/>
          <w:shd w:val="clear" w:color="auto" w:fill="FFFFFF"/>
        </w:rPr>
      </w:pPr>
      <w:r>
        <w:rPr>
          <w:rStyle w:val="apple-converted-space"/>
          <w:rFonts w:asciiTheme="minorHAnsi" w:hAnsiTheme="minorHAnsi" w:cstheme="minorHAnsi"/>
          <w:b/>
          <w:bCs/>
          <w:i/>
          <w:color w:val="000000"/>
          <w:sz w:val="28"/>
          <w:szCs w:val="28"/>
          <w:u w:val="single"/>
          <w:shd w:val="clear" w:color="auto" w:fill="FFFFFF"/>
        </w:rPr>
        <w:t xml:space="preserve">ARTICLE </w:t>
      </w:r>
      <w:r w:rsidR="00377AF4">
        <w:rPr>
          <w:rStyle w:val="apple-converted-space"/>
          <w:rFonts w:asciiTheme="minorHAnsi" w:hAnsiTheme="minorHAnsi" w:cstheme="minorHAnsi"/>
          <w:b/>
          <w:bCs/>
          <w:i/>
          <w:color w:val="000000"/>
          <w:sz w:val="28"/>
          <w:szCs w:val="28"/>
          <w:u w:val="single"/>
          <w:shd w:val="clear" w:color="auto" w:fill="FFFFFF"/>
        </w:rPr>
        <w:t>12 ter</w:t>
      </w:r>
    </w:p>
    <w:p w14:paraId="25B4EFF8" w14:textId="77777777" w:rsidR="0067071E" w:rsidRDefault="0067071E" w:rsidP="0067071E">
      <w:pPr>
        <w:pStyle w:val="NormalWeb"/>
        <w:spacing w:before="88" w:beforeAutospacing="0" w:after="88" w:afterAutospacing="0"/>
        <w:jc w:val="center"/>
        <w:textAlignment w:val="baseline"/>
        <w:rPr>
          <w:rStyle w:val="apple-converted-space"/>
          <w:rFonts w:asciiTheme="minorHAnsi" w:hAnsiTheme="minorHAnsi" w:cstheme="minorHAnsi"/>
          <w:b/>
          <w:bCs/>
          <w:iCs/>
          <w:color w:val="000000"/>
          <w:shd w:val="clear" w:color="auto" w:fill="FFFFFF"/>
        </w:rPr>
      </w:pPr>
    </w:p>
    <w:p w14:paraId="2966C3C1" w14:textId="4928E8C8" w:rsidR="00F248B1" w:rsidRPr="00F248B1" w:rsidRDefault="00F248B1" w:rsidP="00F248B1">
      <w:pPr>
        <w:ind w:hanging="270"/>
        <w:jc w:val="both"/>
        <w:rPr>
          <w:rStyle w:val="apple-converted-space"/>
          <w:rFonts w:asciiTheme="minorHAnsi" w:eastAsiaTheme="minorEastAsia" w:hAnsiTheme="minorHAnsi" w:cstheme="minorHAnsi"/>
          <w:bCs/>
          <w:iCs/>
          <w:color w:val="000000"/>
          <w:szCs w:val="24"/>
          <w:shd w:val="clear" w:color="auto" w:fill="FFFFFF"/>
        </w:rPr>
      </w:pPr>
      <w:r w:rsidRPr="00F248B1">
        <w:rPr>
          <w:rStyle w:val="apple-converted-space"/>
          <w:rFonts w:asciiTheme="minorHAnsi" w:eastAsiaTheme="minorEastAsia" w:hAnsiTheme="minorHAnsi" w:cstheme="minorHAnsi"/>
          <w:bCs/>
          <w:iCs/>
          <w:color w:val="000000"/>
          <w:szCs w:val="24"/>
          <w:shd w:val="clear" w:color="auto" w:fill="FFFFFF"/>
        </w:rPr>
        <w:t xml:space="preserve">ARTICLE </w:t>
      </w:r>
      <w:r w:rsidR="00377AF4">
        <w:rPr>
          <w:rStyle w:val="apple-converted-space"/>
          <w:rFonts w:asciiTheme="minorHAnsi" w:eastAsiaTheme="minorEastAsia" w:hAnsiTheme="minorHAnsi" w:cstheme="minorHAnsi"/>
          <w:bCs/>
          <w:iCs/>
          <w:color w:val="000000"/>
          <w:szCs w:val="24"/>
          <w:shd w:val="clear" w:color="auto" w:fill="FFFFFF"/>
        </w:rPr>
        <w:t>12 ter</w:t>
      </w:r>
    </w:p>
    <w:p w14:paraId="6670819A" w14:textId="77777777" w:rsidR="00F248B1" w:rsidRPr="00F248B1" w:rsidRDefault="00F248B1" w:rsidP="00F248B1">
      <w:pPr>
        <w:ind w:hanging="270"/>
        <w:jc w:val="both"/>
        <w:rPr>
          <w:rStyle w:val="apple-converted-space"/>
          <w:rFonts w:asciiTheme="minorHAnsi" w:eastAsiaTheme="minorEastAsia" w:hAnsiTheme="minorHAnsi" w:cstheme="minorHAnsi"/>
          <w:bCs/>
          <w:iCs/>
          <w:color w:val="000000"/>
          <w:szCs w:val="24"/>
          <w:shd w:val="clear" w:color="auto" w:fill="FFFFFF"/>
        </w:rPr>
      </w:pPr>
      <w:r w:rsidRPr="00F248B1">
        <w:rPr>
          <w:rStyle w:val="apple-converted-space"/>
          <w:rFonts w:asciiTheme="minorHAnsi" w:eastAsiaTheme="minorEastAsia" w:hAnsiTheme="minorHAnsi" w:cstheme="minorHAnsi"/>
          <w:bCs/>
          <w:iCs/>
          <w:color w:val="000000"/>
          <w:szCs w:val="24"/>
          <w:shd w:val="clear" w:color="auto" w:fill="FFFFFF"/>
        </w:rPr>
        <w:t>Supprimer cet article.</w:t>
      </w:r>
    </w:p>
    <w:p w14:paraId="0528DD85" w14:textId="77777777" w:rsidR="00F248B1" w:rsidRPr="00F248B1" w:rsidRDefault="00F248B1" w:rsidP="00F248B1">
      <w:pPr>
        <w:ind w:left="270" w:hanging="270"/>
        <w:jc w:val="both"/>
        <w:rPr>
          <w:rStyle w:val="apple-converted-space"/>
          <w:rFonts w:asciiTheme="minorHAnsi" w:eastAsiaTheme="minorEastAsia" w:hAnsiTheme="minorHAnsi" w:cstheme="minorHAnsi"/>
          <w:bCs/>
          <w:iCs/>
          <w:color w:val="000000"/>
          <w:szCs w:val="24"/>
          <w:shd w:val="clear" w:color="auto" w:fill="FFFFFF"/>
        </w:rPr>
      </w:pPr>
    </w:p>
    <w:p w14:paraId="0BC6F25D" w14:textId="77777777" w:rsidR="00F248B1" w:rsidRDefault="00F248B1" w:rsidP="0067071E">
      <w:pPr>
        <w:rPr>
          <w:rStyle w:val="apple-converted-space"/>
          <w:rFonts w:asciiTheme="minorHAnsi" w:eastAsiaTheme="minorEastAsia" w:hAnsiTheme="minorHAnsi" w:cstheme="minorHAnsi"/>
          <w:bCs/>
          <w:iCs/>
          <w:color w:val="000000"/>
          <w:szCs w:val="24"/>
          <w:shd w:val="clear" w:color="auto" w:fill="FFFFFF"/>
        </w:rPr>
      </w:pPr>
    </w:p>
    <w:p w14:paraId="6A4C925B" w14:textId="77777777" w:rsidR="0067071E" w:rsidRPr="00FC5828" w:rsidRDefault="0067071E" w:rsidP="0067071E">
      <w:pPr>
        <w:rPr>
          <w:rFonts w:asciiTheme="minorHAnsi" w:hAnsiTheme="minorHAnsi" w:cstheme="minorHAnsi"/>
          <w:szCs w:val="24"/>
        </w:rPr>
      </w:pPr>
      <w:r w:rsidRPr="00FC5828">
        <w:rPr>
          <w:rFonts w:asciiTheme="minorHAnsi" w:hAnsiTheme="minorHAnsi" w:cstheme="minorHAnsi"/>
          <w:szCs w:val="24"/>
          <w:u w:val="single"/>
        </w:rPr>
        <w:t>Exposé des motifs </w:t>
      </w:r>
      <w:r w:rsidRPr="00FC5828">
        <w:rPr>
          <w:rFonts w:asciiTheme="minorHAnsi" w:hAnsiTheme="minorHAnsi" w:cstheme="minorHAnsi"/>
          <w:szCs w:val="24"/>
        </w:rPr>
        <w:t>:</w:t>
      </w:r>
    </w:p>
    <w:p w14:paraId="7F5279FC" w14:textId="77777777" w:rsidR="00F8248B" w:rsidRPr="00F8248B" w:rsidRDefault="00F8248B" w:rsidP="00F8248B">
      <w:pPr>
        <w:jc w:val="both"/>
        <w:rPr>
          <w:rFonts w:asciiTheme="minorHAnsi" w:eastAsia="Times New Roman" w:hAnsiTheme="minorHAnsi" w:cstheme="minorHAnsi"/>
        </w:rPr>
      </w:pPr>
      <w:r w:rsidRPr="00F8248B">
        <w:rPr>
          <w:rFonts w:asciiTheme="minorHAnsi" w:eastAsia="Times New Roman" w:hAnsiTheme="minorHAnsi" w:cstheme="minorHAnsi"/>
        </w:rPr>
        <w:t>L’article 12 ter du projet de loi de financement de la Sécurité sociale pour 2026 institue une nouvelle procédure de sanction à l’encontre des professionnels de santé, en prévoyant la suppression systématique de la participation de l’Assurance maladie au paiement des cotisations sociales en cas de fraude.</w:t>
      </w:r>
    </w:p>
    <w:p w14:paraId="2785B0CB" w14:textId="77777777" w:rsidR="00F8248B" w:rsidRPr="00F8248B" w:rsidRDefault="00F8248B" w:rsidP="00F8248B">
      <w:pPr>
        <w:jc w:val="both"/>
        <w:rPr>
          <w:rFonts w:asciiTheme="minorHAnsi" w:eastAsia="Times New Roman" w:hAnsiTheme="minorHAnsi" w:cstheme="minorHAnsi"/>
        </w:rPr>
      </w:pPr>
      <w:r w:rsidRPr="00F8248B">
        <w:rPr>
          <w:rFonts w:asciiTheme="minorHAnsi" w:eastAsia="Times New Roman" w:hAnsiTheme="minorHAnsi" w:cstheme="minorHAnsi"/>
        </w:rPr>
        <w:t>S’il est évidemment indispensable de lutter contre les fraudes caractérisées, cet article introduit une mesure automatique, disproportionnée et inutilement punitive, qui s’ajoute à un arsenal déjà considérablement renforcé ces dernières années.</w:t>
      </w:r>
    </w:p>
    <w:p w14:paraId="027D67DD" w14:textId="1CC27ECF" w:rsidR="00F8248B" w:rsidRPr="00F8248B" w:rsidRDefault="00F8248B" w:rsidP="00F8248B">
      <w:pPr>
        <w:jc w:val="both"/>
        <w:rPr>
          <w:rFonts w:asciiTheme="minorHAnsi" w:eastAsia="Times New Roman" w:hAnsiTheme="minorHAnsi" w:cstheme="minorHAnsi"/>
        </w:rPr>
      </w:pPr>
      <w:r>
        <w:rPr>
          <w:rFonts w:asciiTheme="minorHAnsi" w:eastAsia="Times New Roman" w:hAnsiTheme="minorHAnsi" w:cstheme="minorHAnsi"/>
        </w:rPr>
        <w:t>Le</w:t>
      </w:r>
      <w:r w:rsidRPr="00F8248B">
        <w:rPr>
          <w:rFonts w:asciiTheme="minorHAnsi" w:eastAsia="Times New Roman" w:hAnsiTheme="minorHAnsi" w:cstheme="minorHAnsi"/>
        </w:rPr>
        <w:t>s caisses primaires et la CNAM disposent d’instruments puissants :</w:t>
      </w:r>
      <w:r w:rsidRPr="00F8248B">
        <w:rPr>
          <w:rFonts w:asciiTheme="minorHAnsi" w:eastAsia="Times New Roman" w:hAnsiTheme="minorHAnsi" w:cstheme="minorHAnsi"/>
        </w:rPr>
        <w:t xml:space="preserve"> </w:t>
      </w:r>
      <w:r w:rsidRPr="00F8248B">
        <w:rPr>
          <w:rFonts w:asciiTheme="minorHAnsi" w:eastAsia="Times New Roman" w:hAnsiTheme="minorHAnsi" w:cstheme="minorHAnsi"/>
        </w:rPr>
        <w:t>En effet, depuis le PLFSS 2023 (article 102)</w:t>
      </w:r>
      <w:r>
        <w:rPr>
          <w:rFonts w:asciiTheme="minorHAnsi" w:eastAsia="Times New Roman" w:hAnsiTheme="minorHAnsi" w:cstheme="minorHAnsi"/>
        </w:rPr>
        <w:t xml:space="preserve"> il est possible d’appliquer</w:t>
      </w:r>
      <w:r w:rsidRPr="00F8248B">
        <w:rPr>
          <w:rFonts w:asciiTheme="minorHAnsi" w:eastAsia="Times New Roman" w:hAnsiTheme="minorHAnsi" w:cstheme="minorHAnsi"/>
        </w:rPr>
        <w:t xml:space="preserve"> d</w:t>
      </w:r>
      <w:r>
        <w:rPr>
          <w:rFonts w:asciiTheme="minorHAnsi" w:eastAsia="Times New Roman" w:hAnsiTheme="minorHAnsi" w:cstheme="minorHAnsi"/>
        </w:rPr>
        <w:t xml:space="preserve">es </w:t>
      </w:r>
      <w:r w:rsidRPr="00F8248B">
        <w:rPr>
          <w:rFonts w:asciiTheme="minorHAnsi" w:eastAsia="Times New Roman" w:hAnsiTheme="minorHAnsi" w:cstheme="minorHAnsi"/>
        </w:rPr>
        <w:t>indus par extrapolation</w:t>
      </w:r>
      <w:r>
        <w:rPr>
          <w:rFonts w:asciiTheme="minorHAnsi" w:eastAsia="Times New Roman" w:hAnsiTheme="minorHAnsi" w:cstheme="minorHAnsi"/>
        </w:rPr>
        <w:t xml:space="preserve">. Des </w:t>
      </w:r>
      <w:r w:rsidRPr="00F8248B">
        <w:rPr>
          <w:rFonts w:asciiTheme="minorHAnsi" w:eastAsia="Times New Roman" w:hAnsiTheme="minorHAnsi" w:cstheme="minorHAnsi"/>
        </w:rPr>
        <w:t>sanctions financières, voire pénales</w:t>
      </w:r>
      <w:r>
        <w:rPr>
          <w:rFonts w:asciiTheme="minorHAnsi" w:eastAsia="Times New Roman" w:hAnsiTheme="minorHAnsi" w:cstheme="minorHAnsi"/>
        </w:rPr>
        <w:t xml:space="preserve"> peuvent être appliquées et le </w:t>
      </w:r>
      <w:r w:rsidRPr="00F8248B">
        <w:rPr>
          <w:rFonts w:asciiTheme="minorHAnsi" w:eastAsia="Times New Roman" w:hAnsiTheme="minorHAnsi" w:cstheme="minorHAnsi"/>
        </w:rPr>
        <w:t xml:space="preserve">déconventionnement </w:t>
      </w:r>
      <w:r>
        <w:rPr>
          <w:rFonts w:asciiTheme="minorHAnsi" w:eastAsia="Times New Roman" w:hAnsiTheme="minorHAnsi" w:cstheme="minorHAnsi"/>
        </w:rPr>
        <w:t>d’</w:t>
      </w:r>
      <w:r w:rsidRPr="00F8248B">
        <w:rPr>
          <w:rFonts w:asciiTheme="minorHAnsi" w:eastAsia="Times New Roman" w:hAnsiTheme="minorHAnsi" w:cstheme="minorHAnsi"/>
        </w:rPr>
        <w:t>urgence</w:t>
      </w:r>
      <w:r>
        <w:rPr>
          <w:rFonts w:asciiTheme="minorHAnsi" w:eastAsia="Times New Roman" w:hAnsiTheme="minorHAnsi" w:cstheme="minorHAnsi"/>
        </w:rPr>
        <w:t xml:space="preserve"> requis.</w:t>
      </w:r>
    </w:p>
    <w:p w14:paraId="58D37043" w14:textId="3385CA74" w:rsidR="00F8248B" w:rsidRPr="00F8248B" w:rsidRDefault="00F8248B" w:rsidP="00F8248B">
      <w:pPr>
        <w:jc w:val="both"/>
        <w:rPr>
          <w:rFonts w:asciiTheme="minorHAnsi" w:eastAsia="Times New Roman" w:hAnsiTheme="minorHAnsi" w:cstheme="minorHAnsi"/>
        </w:rPr>
      </w:pPr>
      <w:r w:rsidRPr="00F8248B">
        <w:rPr>
          <w:rFonts w:asciiTheme="minorHAnsi" w:eastAsia="Times New Roman" w:hAnsiTheme="minorHAnsi" w:cstheme="minorHAnsi"/>
        </w:rPr>
        <w:t xml:space="preserve">Ces dispositifs, déjà lourds, ne prennent pas suffisamment en compte la réalité de terrain : la complexité de la nomenclature (NGAP), la diversité des pratiques </w:t>
      </w:r>
      <w:r>
        <w:rPr>
          <w:rFonts w:asciiTheme="minorHAnsi" w:eastAsia="Times New Roman" w:hAnsiTheme="minorHAnsi" w:cstheme="minorHAnsi"/>
        </w:rPr>
        <w:t>des CPAM</w:t>
      </w:r>
      <w:r w:rsidRPr="00F8248B">
        <w:rPr>
          <w:rFonts w:asciiTheme="minorHAnsi" w:eastAsia="Times New Roman" w:hAnsiTheme="minorHAnsi" w:cstheme="minorHAnsi"/>
        </w:rPr>
        <w:t xml:space="preserve"> entraîn</w:t>
      </w:r>
      <w:r>
        <w:rPr>
          <w:rFonts w:asciiTheme="minorHAnsi" w:eastAsia="Times New Roman" w:hAnsiTheme="minorHAnsi" w:cstheme="minorHAnsi"/>
        </w:rPr>
        <w:t>a</w:t>
      </w:r>
      <w:r w:rsidRPr="00F8248B">
        <w:rPr>
          <w:rFonts w:asciiTheme="minorHAnsi" w:eastAsia="Times New Roman" w:hAnsiTheme="minorHAnsi" w:cstheme="minorHAnsi"/>
        </w:rPr>
        <w:t>nt des erreurs de cotation sans intention frauduleuse. Assimiler ces erreurs à des fraudes revient à nier le droit à l’erreur et à entretenir un climat de défiance généralisée entre les professionnels de santé et l’Assurance maladie.</w:t>
      </w:r>
    </w:p>
    <w:p w14:paraId="41B885D2" w14:textId="77777777" w:rsidR="00F8248B" w:rsidRPr="00F8248B" w:rsidRDefault="00F8248B" w:rsidP="00F8248B">
      <w:pPr>
        <w:jc w:val="both"/>
        <w:rPr>
          <w:rFonts w:asciiTheme="minorHAnsi" w:eastAsia="Times New Roman" w:hAnsiTheme="minorHAnsi" w:cstheme="minorHAnsi"/>
        </w:rPr>
      </w:pPr>
      <w:r w:rsidRPr="00F8248B">
        <w:rPr>
          <w:rFonts w:asciiTheme="minorHAnsi" w:eastAsia="Times New Roman" w:hAnsiTheme="minorHAnsi" w:cstheme="minorHAnsi"/>
        </w:rPr>
        <w:t>Dans un contexte où les soignants sont épuisés, démotivés et en nombre insuffisant, où l’attractivité des professions de santé libérales s’érode, il apparaît contre-productif d’alourdir encore les mesures coercitives et stigmatisantes.</w:t>
      </w:r>
    </w:p>
    <w:p w14:paraId="5EF29F9B" w14:textId="77777777" w:rsidR="00F8248B" w:rsidRPr="00F8248B" w:rsidRDefault="00F8248B" w:rsidP="00F8248B">
      <w:pPr>
        <w:rPr>
          <w:rFonts w:asciiTheme="minorHAnsi" w:eastAsia="Times New Roman" w:hAnsiTheme="minorHAnsi" w:cstheme="minorHAnsi"/>
        </w:rPr>
      </w:pPr>
      <w:r w:rsidRPr="00F8248B">
        <w:rPr>
          <w:rFonts w:asciiTheme="minorHAnsi" w:eastAsia="Times New Roman" w:hAnsiTheme="minorHAnsi" w:cstheme="minorHAnsi"/>
        </w:rPr>
        <w:t>Plutôt que de renforcer la sanction, il serait plus opportun de renforcer l’accompagnement, la formation, la clarification de la réglementation et la médiation en cas de désaccords sur la facturation.</w:t>
      </w:r>
    </w:p>
    <w:p w14:paraId="20778DED" w14:textId="77777777" w:rsidR="00F8248B" w:rsidRPr="00F8248B" w:rsidRDefault="00F8248B" w:rsidP="00F8248B">
      <w:pPr>
        <w:jc w:val="both"/>
        <w:rPr>
          <w:rFonts w:asciiTheme="minorHAnsi" w:eastAsia="Times New Roman" w:hAnsiTheme="minorHAnsi" w:cstheme="minorHAnsi"/>
        </w:rPr>
      </w:pPr>
      <w:r w:rsidRPr="00F8248B">
        <w:rPr>
          <w:rFonts w:asciiTheme="minorHAnsi" w:eastAsia="Times New Roman" w:hAnsiTheme="minorHAnsi" w:cstheme="minorHAnsi"/>
        </w:rPr>
        <w:t>Cette disposition, en créant une automaticité de sanction, porte atteinte au principe de proportionnalité et fragilise le lien de confiance indispensable entre l’Assurance maladie et les professionnels libéraux, qui sont les premiers acteurs du maintien à domicile et de la continuité des soins.</w:t>
      </w:r>
    </w:p>
    <w:p w14:paraId="1926394D" w14:textId="77777777" w:rsidR="00F8248B" w:rsidRPr="00F8248B" w:rsidRDefault="00F8248B" w:rsidP="00F8248B">
      <w:pPr>
        <w:rPr>
          <w:rFonts w:asciiTheme="minorHAnsi" w:eastAsia="Times New Roman" w:hAnsiTheme="minorHAnsi" w:cstheme="minorHAnsi"/>
        </w:rPr>
      </w:pPr>
      <w:r w:rsidRPr="00F8248B">
        <w:rPr>
          <w:rFonts w:asciiTheme="minorHAnsi" w:eastAsia="Times New Roman" w:hAnsiTheme="minorHAnsi" w:cstheme="minorHAnsi"/>
        </w:rPr>
        <w:t>Pour toutes ces raisons, il est proposé de supprimer l’article 12 ter du PLFSS 2026.</w:t>
      </w:r>
    </w:p>
    <w:p w14:paraId="0A42CC7E" w14:textId="77777777" w:rsidR="00CA246E" w:rsidRDefault="00CA246E" w:rsidP="0067071E">
      <w:pPr>
        <w:pStyle w:val="NormalWeb"/>
        <w:spacing w:before="88" w:beforeAutospacing="0" w:after="88" w:afterAutospacing="0"/>
        <w:jc w:val="center"/>
        <w:textAlignment w:val="baseline"/>
      </w:pPr>
    </w:p>
    <w:sectPr w:rsidR="00CA2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C1C"/>
    <w:multiLevelType w:val="hybridMultilevel"/>
    <w:tmpl w:val="0B8C3866"/>
    <w:lvl w:ilvl="0" w:tplc="40BA7A8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57551540"/>
    <w:multiLevelType w:val="hybridMultilevel"/>
    <w:tmpl w:val="87AC349A"/>
    <w:lvl w:ilvl="0" w:tplc="AFFCF3CC">
      <w:start w:val="1"/>
      <w:numFmt w:val="lowerLetter"/>
      <w:lvlText w:val="%1)"/>
      <w:lvlJc w:val="left"/>
      <w:pPr>
        <w:ind w:left="1815" w:hanging="360"/>
      </w:pPr>
      <w:rPr>
        <w:rFonts w:ascii="Times" w:hAnsi="Times" w:cs="Times New Roman" w:hint="default"/>
        <w:sz w:val="18"/>
      </w:rPr>
    </w:lvl>
    <w:lvl w:ilvl="1" w:tplc="040C0019" w:tentative="1">
      <w:start w:val="1"/>
      <w:numFmt w:val="lowerLetter"/>
      <w:lvlText w:val="%2."/>
      <w:lvlJc w:val="left"/>
      <w:pPr>
        <w:ind w:left="2535" w:hanging="360"/>
      </w:pPr>
    </w:lvl>
    <w:lvl w:ilvl="2" w:tplc="040C001B" w:tentative="1">
      <w:start w:val="1"/>
      <w:numFmt w:val="lowerRoman"/>
      <w:lvlText w:val="%3."/>
      <w:lvlJc w:val="right"/>
      <w:pPr>
        <w:ind w:left="3255" w:hanging="180"/>
      </w:pPr>
    </w:lvl>
    <w:lvl w:ilvl="3" w:tplc="040C000F" w:tentative="1">
      <w:start w:val="1"/>
      <w:numFmt w:val="decimal"/>
      <w:lvlText w:val="%4."/>
      <w:lvlJc w:val="left"/>
      <w:pPr>
        <w:ind w:left="3975" w:hanging="360"/>
      </w:pPr>
    </w:lvl>
    <w:lvl w:ilvl="4" w:tplc="040C0019" w:tentative="1">
      <w:start w:val="1"/>
      <w:numFmt w:val="lowerLetter"/>
      <w:lvlText w:val="%5."/>
      <w:lvlJc w:val="left"/>
      <w:pPr>
        <w:ind w:left="4695" w:hanging="360"/>
      </w:pPr>
    </w:lvl>
    <w:lvl w:ilvl="5" w:tplc="040C001B" w:tentative="1">
      <w:start w:val="1"/>
      <w:numFmt w:val="lowerRoman"/>
      <w:lvlText w:val="%6."/>
      <w:lvlJc w:val="right"/>
      <w:pPr>
        <w:ind w:left="5415" w:hanging="180"/>
      </w:pPr>
    </w:lvl>
    <w:lvl w:ilvl="6" w:tplc="040C000F" w:tentative="1">
      <w:start w:val="1"/>
      <w:numFmt w:val="decimal"/>
      <w:lvlText w:val="%7."/>
      <w:lvlJc w:val="left"/>
      <w:pPr>
        <w:ind w:left="6135" w:hanging="360"/>
      </w:pPr>
    </w:lvl>
    <w:lvl w:ilvl="7" w:tplc="040C0019" w:tentative="1">
      <w:start w:val="1"/>
      <w:numFmt w:val="lowerLetter"/>
      <w:lvlText w:val="%8."/>
      <w:lvlJc w:val="left"/>
      <w:pPr>
        <w:ind w:left="6855" w:hanging="360"/>
      </w:pPr>
    </w:lvl>
    <w:lvl w:ilvl="8" w:tplc="040C001B" w:tentative="1">
      <w:start w:val="1"/>
      <w:numFmt w:val="lowerRoman"/>
      <w:lvlText w:val="%9."/>
      <w:lvlJc w:val="right"/>
      <w:pPr>
        <w:ind w:left="7575" w:hanging="180"/>
      </w:pPr>
    </w:lvl>
  </w:abstractNum>
  <w:num w:numId="1" w16cid:durableId="21790419">
    <w:abstractNumId w:val="0"/>
  </w:num>
  <w:num w:numId="2" w16cid:durableId="665086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1AC"/>
    <w:rsid w:val="00002000"/>
    <w:rsid w:val="00046582"/>
    <w:rsid w:val="00062465"/>
    <w:rsid w:val="000C11F0"/>
    <w:rsid w:val="002E1908"/>
    <w:rsid w:val="00377AF4"/>
    <w:rsid w:val="0041640A"/>
    <w:rsid w:val="0067071E"/>
    <w:rsid w:val="007331AC"/>
    <w:rsid w:val="008511F6"/>
    <w:rsid w:val="00970949"/>
    <w:rsid w:val="00C42D78"/>
    <w:rsid w:val="00CA246E"/>
    <w:rsid w:val="00DB40BA"/>
    <w:rsid w:val="00DC5B72"/>
    <w:rsid w:val="00EF6295"/>
    <w:rsid w:val="00EF752A"/>
    <w:rsid w:val="00F248B1"/>
    <w:rsid w:val="00F2673A"/>
    <w:rsid w:val="00F8248B"/>
    <w:rsid w:val="00FA2D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54E4B"/>
  <w15:chartTrackingRefBased/>
  <w15:docId w15:val="{A9AE0EDD-B912-4850-8B51-0A1C0D15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AC"/>
    <w:pPr>
      <w:spacing w:after="0" w:line="240" w:lineRule="auto"/>
    </w:pPr>
    <w:rPr>
      <w:rFonts w:ascii="Times" w:eastAsia="Times" w:hAnsi="Times"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331AC"/>
    <w:pPr>
      <w:spacing w:before="100" w:beforeAutospacing="1" w:after="100" w:afterAutospacing="1"/>
    </w:pPr>
    <w:rPr>
      <w:rFonts w:ascii="Times New Roman" w:eastAsiaTheme="minorEastAsia" w:hAnsi="Times New Roman"/>
      <w:szCs w:val="24"/>
    </w:rPr>
  </w:style>
  <w:style w:type="character" w:customStyle="1" w:styleId="apple-converted-space">
    <w:name w:val="apple-converted-space"/>
    <w:basedOn w:val="Policepardfaut"/>
    <w:rsid w:val="007331AC"/>
  </w:style>
  <w:style w:type="paragraph" w:styleId="Paragraphedeliste">
    <w:name w:val="List Paragraph"/>
    <w:basedOn w:val="Normal"/>
    <w:uiPriority w:val="34"/>
    <w:qFormat/>
    <w:rsid w:val="0067071E"/>
    <w:pPr>
      <w:ind w:left="720"/>
      <w:contextualSpacing/>
    </w:pPr>
  </w:style>
  <w:style w:type="paragraph" w:customStyle="1" w:styleId="s11">
    <w:name w:val="s11"/>
    <w:basedOn w:val="Normal"/>
    <w:rsid w:val="0067071E"/>
    <w:pPr>
      <w:spacing w:before="100" w:beforeAutospacing="1" w:after="100" w:afterAutospacing="1"/>
    </w:pPr>
    <w:rPr>
      <w:rFonts w:ascii="Times New Roman" w:eastAsiaTheme="minorHAnsi" w:hAnsi="Times New Roman"/>
      <w:szCs w:val="24"/>
    </w:rPr>
  </w:style>
  <w:style w:type="character" w:customStyle="1" w:styleId="bumpedfont15">
    <w:name w:val="bumpedfont15"/>
    <w:basedOn w:val="Policepardfaut"/>
    <w:rsid w:val="00670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341</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Convergence</dc:creator>
  <cp:keywords/>
  <dc:description/>
  <cp:lastModifiedBy>Convergence</cp:lastModifiedBy>
  <cp:revision>4</cp:revision>
  <dcterms:created xsi:type="dcterms:W3CDTF">2025-11-12T11:59:00Z</dcterms:created>
  <dcterms:modified xsi:type="dcterms:W3CDTF">2025-11-12T12:08:00Z</dcterms:modified>
</cp:coreProperties>
</file>